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045093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045093">
        <w:rPr>
          <w:rFonts w:ascii="Century Gothic" w:hAnsi="Century Gothic"/>
          <w:b/>
          <w:sz w:val="28"/>
          <w:szCs w:val="28"/>
        </w:rPr>
        <w:t>2018-2019</w:t>
      </w:r>
    </w:p>
    <w:p w:rsidR="00045093" w:rsidRDefault="00C91B5B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Second</w:t>
      </w:r>
      <w:r w:rsidR="00CF6377">
        <w:rPr>
          <w:rFonts w:ascii="Century Gothic" w:hAnsi="Century Gothic"/>
          <w:b/>
          <w:sz w:val="28"/>
          <w:szCs w:val="28"/>
        </w:rPr>
        <w:t xml:space="preserve"> Grade</w:t>
      </w:r>
      <w:r w:rsidR="00045093" w:rsidRPr="00045093">
        <w:rPr>
          <w:rFonts w:ascii="Century Gothic" w:hAnsi="Century Gothic"/>
          <w:b/>
          <w:sz w:val="28"/>
          <w:szCs w:val="28"/>
        </w:rPr>
        <w:t xml:space="preserve"> Supply List </w:t>
      </w:r>
    </w:p>
    <w:p w:rsidR="0091066A" w:rsidRPr="00207E7D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BB4FF7" w:rsidRPr="00207E7D" w:rsidRDefault="00846A8F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5895975" cy="10191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191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4" w:rsidRPr="00D535C4" w:rsidRDefault="00D75BD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Attention</w:t>
                            </w:r>
                            <w:r w:rsidR="00A261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Parents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As we have done for the past several years, we are asking parents of each student to pay </w:t>
                            </w:r>
                            <w:r w:rsidR="00EB48F4" w:rsidRPr="00912414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$25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 help cover the cost of academic supplies.  This amount partially offsets the cost for Brain Pop, Everyday Writer, Ha</w:t>
                            </w:r>
                            <w:r w:rsidR="00D535C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dwriting Books, Spanish Phonics, Spelling/Word Skills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Materials, Studen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 Agendas, and World Reports.  CMS does not provide t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hese m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85pt;width:464.25pt;height:8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" filled="f" strokecolor="#c00000" strokeweight="3pt">
                <v:stroke linestyle="thinThin"/>
                <v:textbox>
                  <w:txbxContent>
                    <w:p w:rsidR="00EB48F4" w:rsidRPr="00D535C4" w:rsidRDefault="00D75BD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Attention</w:t>
                      </w:r>
                      <w:r w:rsidR="00A261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Parents</w:t>
                      </w: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As we have done for the past several years, we are asking parents of each student to pay </w:t>
                      </w:r>
                      <w:r w:rsidR="00EB48F4" w:rsidRPr="00912414">
                        <w:rPr>
                          <w:rFonts w:ascii="Century Gothic" w:hAnsi="Century Gothic"/>
                          <w:b/>
                          <w:color w:val="FF0000"/>
                        </w:rPr>
                        <w:t>$25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 help cover the cost of academic supplies.  This amount partially offsets the cost for Brain Pop, Everyday Writer, Ha</w:t>
                      </w:r>
                      <w:r w:rsidR="00D535C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dwriting Books, Spanish Phonics, Spelling/Word Skills</w:t>
                      </w:r>
                      <w:r w:rsidR="00EB48F4" w:rsidRPr="00D535C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Materials, Studen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 Agendas, and World Reports.  CMS does not provide t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hese m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aterials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4FF7" w:rsidRPr="0091066A">
        <w:rPr>
          <w:rFonts w:ascii="Century Gothic" w:hAnsi="Century Gothic"/>
          <w:b/>
          <w:sz w:val="16"/>
          <w:szCs w:val="16"/>
        </w:rPr>
        <w:tab/>
      </w:r>
      <w:r w:rsidR="00BB4FF7" w:rsidRPr="0091066A">
        <w:rPr>
          <w:rFonts w:ascii="Century Gothic" w:hAnsi="Century Gothic"/>
          <w:b/>
          <w:sz w:val="24"/>
          <w:szCs w:val="24"/>
        </w:rPr>
        <w:tab/>
      </w:r>
    </w:p>
    <w:p w:rsidR="00207E7D" w:rsidRPr="00846A8F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631"/>
        <w:gridCol w:w="6683"/>
      </w:tblGrid>
      <w:tr w:rsidR="00D75BD2" w:rsidTr="00333382">
        <w:tc>
          <w:tcPr>
            <w:tcW w:w="2957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411A65" w:rsidRDefault="00D75BD2" w:rsidP="00EB48F4">
            <w:pPr>
              <w:rPr>
                <w:rFonts w:ascii="Century Gothic" w:hAnsi="Century Gothic"/>
                <w:b/>
              </w:rPr>
            </w:pPr>
            <w:r w:rsidRPr="00411A65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7797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411A65" w:rsidRDefault="00D75BD2" w:rsidP="00EB48F4">
            <w:pPr>
              <w:rPr>
                <w:rFonts w:ascii="Century Gothic" w:hAnsi="Century Gothic"/>
                <w:b/>
              </w:rPr>
            </w:pPr>
            <w:r w:rsidRPr="00411A65">
              <w:rPr>
                <w:rFonts w:ascii="Century Gothic" w:hAnsi="Century Gothic"/>
                <w:b/>
              </w:rPr>
              <w:t>Required Materials</w:t>
            </w:r>
          </w:p>
        </w:tc>
      </w:tr>
      <w:tr w:rsidR="00EB48F4" w:rsidTr="00333382"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EB48F4" w:rsidRPr="00717B21" w:rsidRDefault="00C91B5B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EB48F4" w:rsidRPr="00711343" w:rsidRDefault="00C91B5B" w:rsidP="00717B21">
            <w:pPr>
              <w:widowControl w:val="0"/>
              <w:overflowPunct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Comic Sans MS"/>
                <w:kern w:val="28"/>
              </w:rPr>
              <w:t>Wide ruled black and white marble composition notebook</w:t>
            </w:r>
          </w:p>
        </w:tc>
      </w:tr>
      <w:tr w:rsidR="00717B21" w:rsidTr="00711343">
        <w:tc>
          <w:tcPr>
            <w:tcW w:w="2957" w:type="dxa"/>
            <w:vAlign w:val="center"/>
          </w:tcPr>
          <w:p w:rsidR="00717B21" w:rsidRPr="00717B21" w:rsidRDefault="00C91B5B" w:rsidP="00717B21">
            <w:pPr>
              <w:widowControl w:val="0"/>
              <w:overflowPunct w:val="0"/>
              <w:adjustRightInd w:val="0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 w:cs="Comic Sans MS"/>
                <w:b/>
                <w:kern w:val="28"/>
              </w:rPr>
              <w:t>1</w:t>
            </w:r>
          </w:p>
        </w:tc>
        <w:tc>
          <w:tcPr>
            <w:tcW w:w="7797" w:type="dxa"/>
            <w:vAlign w:val="center"/>
          </w:tcPr>
          <w:p w:rsidR="00717B21" w:rsidRPr="00711343" w:rsidRDefault="00C91B5B" w:rsidP="00717B2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>
              <w:rPr>
                <w:rFonts w:ascii="Century Gothic" w:hAnsi="Century Gothic" w:cs="Comic Sans MS"/>
                <w:kern w:val="28"/>
              </w:rPr>
              <w:t>Graph paper composition notebook</w:t>
            </w:r>
          </w:p>
        </w:tc>
      </w:tr>
      <w:tr w:rsidR="00EB48F4" w:rsidTr="00711343">
        <w:tc>
          <w:tcPr>
            <w:tcW w:w="2957" w:type="dxa"/>
            <w:vAlign w:val="center"/>
          </w:tcPr>
          <w:p w:rsidR="00EB48F4" w:rsidRPr="00717B21" w:rsidRDefault="00C91B5B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 w:cs="Comic Sans MS"/>
                <w:b/>
                <w:kern w:val="28"/>
              </w:rPr>
              <w:t>7</w:t>
            </w:r>
          </w:p>
        </w:tc>
        <w:tc>
          <w:tcPr>
            <w:tcW w:w="7797" w:type="dxa"/>
            <w:vAlign w:val="center"/>
          </w:tcPr>
          <w:p w:rsidR="00EB48F4" w:rsidRPr="00711343" w:rsidRDefault="00C91B5B" w:rsidP="00341EAA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>
              <w:rPr>
                <w:rFonts w:ascii="Century Gothic" w:hAnsi="Century Gothic" w:cs="Comic Sans MS"/>
                <w:kern w:val="28"/>
              </w:rPr>
              <w:t xml:space="preserve">Plastic folders with pockets and </w:t>
            </w:r>
            <w:r w:rsidR="00341EAA">
              <w:rPr>
                <w:rFonts w:ascii="Century Gothic" w:hAnsi="Century Gothic" w:cs="Comic Sans MS"/>
                <w:kern w:val="28"/>
              </w:rPr>
              <w:t>prongs</w:t>
            </w:r>
          </w:p>
        </w:tc>
      </w:tr>
      <w:tr w:rsidR="00EB48F4" w:rsidTr="00711343">
        <w:tc>
          <w:tcPr>
            <w:tcW w:w="2957" w:type="dxa"/>
            <w:vAlign w:val="center"/>
          </w:tcPr>
          <w:p w:rsidR="00EB48F4" w:rsidRPr="00717B21" w:rsidRDefault="00C91B5B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CF6377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box, 24 count</w:t>
            </w:r>
          </w:p>
        </w:tc>
        <w:tc>
          <w:tcPr>
            <w:tcW w:w="7797" w:type="dxa"/>
            <w:vAlign w:val="center"/>
          </w:tcPr>
          <w:p w:rsidR="00EB48F4" w:rsidRPr="00711343" w:rsidRDefault="00C91B5B" w:rsidP="00717B2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>
              <w:rPr>
                <w:rFonts w:ascii="Century Gothic" w:hAnsi="Century Gothic" w:cs="Comic Sans MS"/>
                <w:kern w:val="28"/>
              </w:rPr>
              <w:t>Colored pencils</w:t>
            </w:r>
          </w:p>
        </w:tc>
      </w:tr>
      <w:tr w:rsidR="00EB48F4" w:rsidTr="00711343">
        <w:tc>
          <w:tcPr>
            <w:tcW w:w="2957" w:type="dxa"/>
            <w:vAlign w:val="center"/>
          </w:tcPr>
          <w:p w:rsidR="00EB48F4" w:rsidRPr="00717B21" w:rsidRDefault="00C91B5B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797" w:type="dxa"/>
            <w:vAlign w:val="center"/>
          </w:tcPr>
          <w:p w:rsidR="00EB48F4" w:rsidRPr="00711343" w:rsidRDefault="00C91B5B" w:rsidP="00717B21">
            <w:pPr>
              <w:widowControl w:val="0"/>
              <w:overflowPunct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Comic Sans MS"/>
                <w:kern w:val="28"/>
              </w:rPr>
              <w:t>Ruler</w:t>
            </w:r>
            <w:r w:rsidR="00717B21" w:rsidRPr="00711343">
              <w:rPr>
                <w:rFonts w:ascii="Century Gothic" w:hAnsi="Century Gothic" w:cs="Comic Sans MS"/>
                <w:kern w:val="28"/>
              </w:rPr>
              <w:t xml:space="preserve"> </w:t>
            </w:r>
          </w:p>
        </w:tc>
      </w:tr>
      <w:tr w:rsidR="00EB48F4" w:rsidTr="00711343">
        <w:tc>
          <w:tcPr>
            <w:tcW w:w="2957" w:type="dxa"/>
            <w:vAlign w:val="center"/>
          </w:tcPr>
          <w:p w:rsidR="00EB48F4" w:rsidRPr="00717B21" w:rsidRDefault="00C91B5B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797" w:type="dxa"/>
            <w:vAlign w:val="center"/>
          </w:tcPr>
          <w:p w:rsidR="00EB48F4" w:rsidRPr="00711343" w:rsidRDefault="00C91B5B" w:rsidP="00717B2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>
              <w:rPr>
                <w:rFonts w:ascii="Century Gothic" w:hAnsi="Century Gothic" w:cs="Comic Sans MS"/>
                <w:kern w:val="28"/>
              </w:rPr>
              <w:t>Pencil pouch</w:t>
            </w:r>
          </w:p>
        </w:tc>
      </w:tr>
      <w:tr w:rsidR="00EB48F4" w:rsidTr="00711343">
        <w:tc>
          <w:tcPr>
            <w:tcW w:w="2957" w:type="dxa"/>
            <w:vAlign w:val="center"/>
          </w:tcPr>
          <w:p w:rsidR="00EB48F4" w:rsidRPr="00717B21" w:rsidRDefault="00C91B5B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 w:cs="Comic Sans MS"/>
                <w:b/>
                <w:kern w:val="28"/>
              </w:rPr>
              <w:t>48</w:t>
            </w:r>
          </w:p>
        </w:tc>
        <w:tc>
          <w:tcPr>
            <w:tcW w:w="7797" w:type="dxa"/>
            <w:vAlign w:val="center"/>
          </w:tcPr>
          <w:p w:rsidR="00EB48F4" w:rsidRPr="00711343" w:rsidRDefault="00C91B5B" w:rsidP="00717B2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>
              <w:rPr>
                <w:rFonts w:ascii="Century Gothic" w:hAnsi="Century Gothic" w:cs="Comic Sans MS"/>
                <w:kern w:val="28"/>
              </w:rPr>
              <w:t xml:space="preserve">#2 Pencils </w:t>
            </w:r>
            <w:r w:rsidR="00EA5F72">
              <w:rPr>
                <w:rFonts w:ascii="Century Gothic" w:hAnsi="Century Gothic" w:cs="Comic Sans MS"/>
                <w:b/>
                <w:kern w:val="28"/>
              </w:rPr>
              <w:t>(No mechanical pencils</w:t>
            </w:r>
            <w:r w:rsidRPr="00581B39">
              <w:rPr>
                <w:rFonts w:ascii="Century Gothic" w:hAnsi="Century Gothic" w:cs="Comic Sans MS"/>
                <w:b/>
                <w:kern w:val="28"/>
              </w:rPr>
              <w:t>)</w:t>
            </w:r>
          </w:p>
        </w:tc>
      </w:tr>
      <w:tr w:rsidR="00EB48F4" w:rsidTr="00711343">
        <w:tc>
          <w:tcPr>
            <w:tcW w:w="2957" w:type="dxa"/>
            <w:vAlign w:val="center"/>
          </w:tcPr>
          <w:p w:rsidR="00EB48F4" w:rsidRPr="00581B39" w:rsidRDefault="00581B39" w:rsidP="00EB48F4">
            <w:pPr>
              <w:rPr>
                <w:rFonts w:ascii="Century Gothic" w:hAnsi="Century Gothic"/>
                <w:b/>
              </w:rPr>
            </w:pPr>
            <w:r w:rsidRPr="00581B39">
              <w:rPr>
                <w:rFonts w:ascii="Century Gothic" w:hAnsi="Century Gothic"/>
                <w:b/>
              </w:rPr>
              <w:t>1 pair</w:t>
            </w:r>
          </w:p>
        </w:tc>
        <w:tc>
          <w:tcPr>
            <w:tcW w:w="7797" w:type="dxa"/>
            <w:vAlign w:val="center"/>
          </w:tcPr>
          <w:p w:rsidR="00EB48F4" w:rsidRPr="00EB48F4" w:rsidRDefault="00581B39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581B39">
              <w:rPr>
                <w:rFonts w:ascii="Century Gothic" w:hAnsi="Century Gothic"/>
              </w:rPr>
              <w:t>Ear buds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0D49A8">
              <w:rPr>
                <w:rFonts w:ascii="Century Gothic" w:hAnsi="Century Gothic"/>
                <w:b/>
              </w:rPr>
              <w:t>(For technology use at school; put in a Ziploc bag with child’s name.)</w:t>
            </w:r>
          </w:p>
        </w:tc>
      </w:tr>
      <w:tr w:rsidR="00556425" w:rsidTr="00711343">
        <w:tc>
          <w:tcPr>
            <w:tcW w:w="2957" w:type="dxa"/>
            <w:vAlign w:val="center"/>
          </w:tcPr>
          <w:p w:rsidR="00556425" w:rsidRPr="00EB48F4" w:rsidRDefault="00556425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:rsidR="00556425" w:rsidRPr="00EB48F4" w:rsidRDefault="00556425" w:rsidP="00EB48F4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BB4FF7" w:rsidRPr="00207E7D" w:rsidRDefault="00BB4FF7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6677"/>
      </w:tblGrid>
      <w:tr w:rsidR="00D535C4" w:rsidTr="00A261E8">
        <w:tc>
          <w:tcPr>
            <w:tcW w:w="2947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0D49A8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807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0D49A8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>Highly Appreciated Items</w:t>
            </w:r>
          </w:p>
        </w:tc>
      </w:tr>
      <w:tr w:rsidR="00831EBB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831EBB" w:rsidRPr="000D49A8" w:rsidRDefault="00EA5F72" w:rsidP="00EA5F72">
            <w:pPr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831EBB" w:rsidRPr="000D49A8" w:rsidRDefault="000D49A8" w:rsidP="00831EBB">
            <w:pPr>
              <w:rPr>
                <w:rFonts w:ascii="Century Gothic" w:hAnsi="Century Gothic"/>
              </w:rPr>
            </w:pPr>
            <w:r w:rsidRPr="000D49A8">
              <w:rPr>
                <w:rFonts w:ascii="Century Gothic" w:hAnsi="Century Gothic"/>
              </w:rPr>
              <w:t>Child safety scissor</w:t>
            </w:r>
          </w:p>
        </w:tc>
      </w:tr>
      <w:tr w:rsidR="00711343" w:rsidRPr="001E4FFD" w:rsidTr="00872025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711343" w:rsidRPr="000D49A8" w:rsidRDefault="001E4FFD" w:rsidP="00EA5F72">
            <w:pPr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 xml:space="preserve">1 </w:t>
            </w:r>
            <w:r w:rsidR="00EA5F72" w:rsidRPr="000D49A8">
              <w:rPr>
                <w:rFonts w:ascii="Century Gothic" w:hAnsi="Century Gothic"/>
                <w:b/>
              </w:rPr>
              <w:t>box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</w:tcPr>
          <w:p w:rsidR="00711343" w:rsidRPr="000D49A8" w:rsidRDefault="001E4FFD" w:rsidP="00711343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color w:val="1F3864"/>
                <w:kern w:val="28"/>
              </w:rPr>
            </w:pPr>
            <w:r w:rsidRPr="000D49A8">
              <w:rPr>
                <w:rFonts w:ascii="Century Gothic" w:hAnsi="Century Gothic" w:cs="Comic Sans MS"/>
                <w:color w:val="1F3864"/>
                <w:kern w:val="28"/>
              </w:rPr>
              <w:t>Markers</w:t>
            </w:r>
          </w:p>
        </w:tc>
      </w:tr>
      <w:tr w:rsidR="0091066A" w:rsidRPr="001E4FFD" w:rsidTr="0091066A">
        <w:tc>
          <w:tcPr>
            <w:tcW w:w="2947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91066A" w:rsidRPr="000D49A8" w:rsidRDefault="000D49A8" w:rsidP="0091066A">
            <w:pPr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>1 each</w:t>
            </w: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91066A" w:rsidRPr="000D49A8" w:rsidRDefault="000D49A8" w:rsidP="0091066A">
            <w:pPr>
              <w:rPr>
                <w:rFonts w:ascii="Century Gothic" w:hAnsi="Century Gothic"/>
              </w:rPr>
            </w:pPr>
            <w:proofErr w:type="spellStart"/>
            <w:r w:rsidRPr="000D49A8">
              <w:rPr>
                <w:rFonts w:ascii="Century Gothic" w:hAnsi="Century Gothic"/>
              </w:rPr>
              <w:t>Staedtler</w:t>
            </w:r>
            <w:proofErr w:type="spellEnd"/>
            <w:r w:rsidRPr="000D49A8">
              <w:rPr>
                <w:rFonts w:ascii="Century Gothic" w:hAnsi="Century Gothic"/>
              </w:rPr>
              <w:t xml:space="preserve"> brand eraser and sharpener</w:t>
            </w:r>
          </w:p>
        </w:tc>
      </w:tr>
      <w:tr w:rsidR="000D49A8" w:rsidRPr="001E4FFD" w:rsidTr="00FF4AE0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0D49A8" w:rsidRPr="000D49A8" w:rsidRDefault="000D49A8" w:rsidP="000D49A8">
            <w:pPr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>1 container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0D49A8" w:rsidRPr="000D49A8" w:rsidRDefault="000D49A8" w:rsidP="000D49A8">
            <w:pPr>
              <w:rPr>
                <w:rFonts w:ascii="Century Gothic" w:hAnsi="Century Gothic"/>
              </w:rPr>
            </w:pPr>
            <w:r w:rsidRPr="000D49A8">
              <w:rPr>
                <w:rFonts w:ascii="Century Gothic" w:hAnsi="Century Gothic"/>
              </w:rPr>
              <w:t>Lysol wipes</w:t>
            </w:r>
          </w:p>
        </w:tc>
      </w:tr>
      <w:tr w:rsidR="000D49A8" w:rsidRPr="001E4FFD" w:rsidTr="00C92F29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0D49A8" w:rsidRPr="000D49A8" w:rsidRDefault="000D49A8" w:rsidP="000D49A8">
            <w:pPr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 xml:space="preserve">1box 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0D49A8" w:rsidRPr="000D49A8" w:rsidRDefault="000D49A8" w:rsidP="000D49A8">
            <w:pPr>
              <w:rPr>
                <w:rFonts w:ascii="Century Gothic" w:hAnsi="Century Gothic"/>
              </w:rPr>
            </w:pPr>
            <w:r w:rsidRPr="000D49A8">
              <w:rPr>
                <w:rFonts w:ascii="Century Gothic" w:hAnsi="Century Gothic"/>
              </w:rPr>
              <w:t>Tissues</w:t>
            </w:r>
          </w:p>
        </w:tc>
      </w:tr>
      <w:tr w:rsidR="0091066A" w:rsidRPr="001E4FFD" w:rsidTr="00A261E8">
        <w:tc>
          <w:tcPr>
            <w:tcW w:w="2947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91066A" w:rsidRPr="000D49A8" w:rsidRDefault="0091066A" w:rsidP="0091066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807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91066A" w:rsidRPr="000D49A8" w:rsidRDefault="0091066A" w:rsidP="0091066A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D535C4" w:rsidRPr="001E4FFD" w:rsidRDefault="00846A8F" w:rsidP="00BB4FF7">
      <w:pPr>
        <w:spacing w:after="0" w:line="240" w:lineRule="auto"/>
        <w:contextualSpacing/>
        <w:rPr>
          <w:rFonts w:ascii="Century Gothic" w:hAnsi="Century Gothic"/>
          <w:b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1107440</wp:posOffset>
                </wp:positionV>
                <wp:extent cx="5553075" cy="11430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8" w:rsidRPr="0091066A" w:rsidRDefault="00A261E8" w:rsidP="00831E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Uniform</w:t>
                            </w:r>
                            <w:r w:rsidR="00831EBB"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Policy</w:t>
                            </w:r>
                          </w:p>
                          <w:p w:rsidR="0091066A" w:rsidRPr="0091066A" w:rsidRDefault="00A261E8" w:rsidP="00765D01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</w:rPr>
                              <w:t>White or Navy Blue collared shirt</w:t>
                            </w:r>
                            <w:r w:rsidR="008342C4" w:rsidRPr="0091066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  <w:t xml:space="preserve">Navy Blue pants, </w:t>
                            </w:r>
                            <w:r w:rsidR="0091066A" w:rsidRPr="0091066A">
                              <w:rPr>
                                <w:rFonts w:ascii="Century Gothic" w:hAnsi="Century Gothic"/>
                              </w:rPr>
                              <w:t>shorts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>, or skirts</w:t>
                            </w:r>
                            <w:r w:rsidR="0091066A"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91066A" w:rsidRDefault="0091066A" w:rsidP="00666A0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</w:rPr>
                              <w:t>Girls can a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 xml:space="preserve">lso wear navy blue jumpers.  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666A08" w:rsidRPr="0091066A">
                              <w:rPr>
                                <w:rFonts w:ascii="Century Gothic" w:hAnsi="Century Gothic"/>
                                <w:b/>
                              </w:rPr>
                              <w:t>Only</w:t>
                            </w:r>
                            <w:r w:rsidR="00666A08" w:rsidRPr="0091066A">
                              <w:rPr>
                                <w:rFonts w:ascii="Century Gothic" w:hAnsi="Century Gothic"/>
                              </w:rPr>
                              <w:t xml:space="preserve"> tennis shoes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666A08" w:rsidRPr="0091066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D31E12" w:rsidRPr="00D31E12" w:rsidRDefault="00D31E12" w:rsidP="00666A0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66A08" w:rsidRPr="0091066A" w:rsidRDefault="00666A08" w:rsidP="009106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>N</w:t>
                            </w:r>
                            <w:r w:rsidR="00D31E12">
                              <w:rPr>
                                <w:rFonts w:ascii="Century Gothic" w:hAnsi="Century Gothic"/>
                                <w:b/>
                              </w:rPr>
                              <w:t>OT ALLOWED:</w:t>
                            </w: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light-up shoes</w:t>
                            </w:r>
                            <w:r w:rsidR="00D31E12">
                              <w:rPr>
                                <w:rFonts w:ascii="Century Gothic" w:hAnsi="Century Gothic"/>
                                <w:b/>
                              </w:rPr>
                              <w:t>, sandals, boots,</w:t>
                            </w:r>
                          </w:p>
                          <w:p w:rsidR="00A261E8" w:rsidRPr="0091066A" w:rsidRDefault="00D31E12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A261E8" w:rsidRPr="0091066A">
                              <w:rPr>
                                <w:rFonts w:ascii="Century Gothic" w:hAnsi="Century Gothic"/>
                                <w:b/>
                              </w:rPr>
                              <w:t>book bags with wheels.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pt;margin-top:87.2pt;width:437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" strokecolor="#002060" strokeweight="2.25pt">
                <v:textbox>
                  <w:txbxContent>
                    <w:p w:rsidR="00A261E8" w:rsidRPr="0091066A" w:rsidRDefault="00A261E8" w:rsidP="00831EB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>Uniform</w:t>
                      </w:r>
                      <w:r w:rsidR="00831EBB"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Policy</w:t>
                      </w:r>
                    </w:p>
                    <w:p w:rsidR="0091066A" w:rsidRPr="0091066A" w:rsidRDefault="00A261E8" w:rsidP="00765D01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</w:rPr>
                        <w:t>White or Navy Blue collared shirt</w:t>
                      </w:r>
                      <w:r w:rsidR="008342C4" w:rsidRPr="0091066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  <w:t xml:space="preserve">Navy Blue pants, </w:t>
                      </w:r>
                      <w:r w:rsidR="0091066A" w:rsidRPr="0091066A">
                        <w:rPr>
                          <w:rFonts w:ascii="Century Gothic" w:hAnsi="Century Gothic"/>
                        </w:rPr>
                        <w:t>shorts</w:t>
                      </w:r>
                      <w:r w:rsidR="008871CA">
                        <w:rPr>
                          <w:rFonts w:ascii="Century Gothic" w:hAnsi="Century Gothic"/>
                        </w:rPr>
                        <w:t>, or skirts</w:t>
                      </w:r>
                      <w:r w:rsidR="0091066A" w:rsidRPr="0091066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91066A" w:rsidRDefault="0091066A" w:rsidP="00666A0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91066A">
                        <w:rPr>
                          <w:rFonts w:ascii="Century Gothic" w:hAnsi="Century Gothic"/>
                        </w:rPr>
                        <w:t>Girls can a</w:t>
                      </w:r>
                      <w:r w:rsidR="008871CA">
                        <w:rPr>
                          <w:rFonts w:ascii="Century Gothic" w:hAnsi="Century Gothic"/>
                        </w:rPr>
                        <w:t xml:space="preserve">lso wear navy blue jumpers.  </w:t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666A08" w:rsidRPr="0091066A">
                        <w:rPr>
                          <w:rFonts w:ascii="Century Gothic" w:hAnsi="Century Gothic"/>
                          <w:b/>
                        </w:rPr>
                        <w:t>Only</w:t>
                      </w:r>
                      <w:r w:rsidR="00666A08" w:rsidRPr="0091066A">
                        <w:rPr>
                          <w:rFonts w:ascii="Century Gothic" w:hAnsi="Century Gothic"/>
                        </w:rPr>
                        <w:t xml:space="preserve"> tennis shoes</w:t>
                      </w:r>
                      <w:r w:rsidR="008871CA">
                        <w:rPr>
                          <w:rFonts w:ascii="Century Gothic" w:hAnsi="Century Gothic"/>
                        </w:rPr>
                        <w:t>.</w:t>
                      </w:r>
                      <w:r w:rsidR="00666A08" w:rsidRPr="0091066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D31E12" w:rsidRPr="00D31E12" w:rsidRDefault="00D31E12" w:rsidP="00666A0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66A08" w:rsidRPr="0091066A" w:rsidRDefault="00666A08" w:rsidP="009106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</w:rPr>
                        <w:t>N</w:t>
                      </w:r>
                      <w:r w:rsidR="00D31E12">
                        <w:rPr>
                          <w:rFonts w:ascii="Century Gothic" w:hAnsi="Century Gothic"/>
                          <w:b/>
                        </w:rPr>
                        <w:t>OT ALLOWED:</w:t>
                      </w:r>
                      <w:r w:rsidRPr="0091066A">
                        <w:rPr>
                          <w:rFonts w:ascii="Century Gothic" w:hAnsi="Century Gothic"/>
                          <w:b/>
                        </w:rPr>
                        <w:t xml:space="preserve"> light-up shoes</w:t>
                      </w:r>
                      <w:r w:rsidR="00D31E12">
                        <w:rPr>
                          <w:rFonts w:ascii="Century Gothic" w:hAnsi="Century Gothic"/>
                          <w:b/>
                        </w:rPr>
                        <w:t>, sandals, boots,</w:t>
                      </w:r>
                    </w:p>
                    <w:p w:rsidR="00A261E8" w:rsidRPr="0091066A" w:rsidRDefault="00D31E12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A261E8" w:rsidRPr="0091066A">
                        <w:rPr>
                          <w:rFonts w:ascii="Century Gothic" w:hAnsi="Century Gothic"/>
                          <w:b/>
                        </w:rPr>
                        <w:t>book bags with wheels.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660"/>
        <w:gridCol w:w="6654"/>
      </w:tblGrid>
      <w:tr w:rsidR="00556425" w:rsidRPr="001E4FFD" w:rsidTr="00411A65">
        <w:tc>
          <w:tcPr>
            <w:tcW w:w="2947" w:type="dxa"/>
            <w:tcBorders>
              <w:top w:val="single" w:sz="18" w:space="0" w:color="FFC000" w:themeColor="accent4"/>
              <w:bottom w:val="single" w:sz="4" w:space="0" w:color="auto"/>
              <w:right w:val="nil"/>
            </w:tcBorders>
          </w:tcPr>
          <w:p w:rsidR="00556425" w:rsidRPr="001E4FFD" w:rsidRDefault="00831EBB" w:rsidP="00BB4FF7">
            <w:pPr>
              <w:contextualSpacing/>
              <w:rPr>
                <w:rFonts w:ascii="Century Gothic" w:hAnsi="Century Gothic"/>
                <w:b/>
              </w:rPr>
            </w:pPr>
            <w:r w:rsidRPr="001E4FFD">
              <w:rPr>
                <w:rFonts w:ascii="Century Gothic" w:hAnsi="Century Gothic"/>
                <w:b/>
              </w:rPr>
              <w:t>Wish List</w:t>
            </w:r>
          </w:p>
        </w:tc>
        <w:tc>
          <w:tcPr>
            <w:tcW w:w="7807" w:type="dxa"/>
            <w:tcBorders>
              <w:top w:val="single" w:sz="18" w:space="0" w:color="FFC000" w:themeColor="accent4"/>
              <w:left w:val="nil"/>
              <w:bottom w:val="single" w:sz="4" w:space="0" w:color="auto"/>
            </w:tcBorders>
          </w:tcPr>
          <w:p w:rsidR="00556425" w:rsidRPr="001E4FFD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  <w:tr w:rsidR="00411A65" w:rsidRPr="001E4FFD" w:rsidTr="00EC738E"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411A65" w:rsidRPr="001E4FFD" w:rsidRDefault="00411A65" w:rsidP="00411A65">
            <w:pPr>
              <w:rPr>
                <w:rFonts w:ascii="Century Gothic" w:hAnsi="Century Gothic"/>
              </w:rPr>
            </w:pPr>
            <w:r w:rsidRPr="001E4FFD">
              <w:rPr>
                <w:rFonts w:ascii="Century Gothic" w:hAnsi="Century Gothic"/>
              </w:rPr>
              <w:t>1 box</w:t>
            </w:r>
            <w:r w:rsidR="000D49A8">
              <w:rPr>
                <w:rFonts w:ascii="Century Gothic" w:hAnsi="Century Gothic"/>
              </w:rPr>
              <w:t>, 2.5 gallon size</w:t>
            </w:r>
          </w:p>
        </w:tc>
        <w:tc>
          <w:tcPr>
            <w:tcW w:w="7807" w:type="dxa"/>
            <w:tcBorders>
              <w:top w:val="single" w:sz="4" w:space="0" w:color="auto"/>
            </w:tcBorders>
            <w:vAlign w:val="center"/>
          </w:tcPr>
          <w:p w:rsidR="00411A65" w:rsidRPr="001E4FFD" w:rsidRDefault="000D49A8" w:rsidP="00411A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Hefty Jumbo bags</w:t>
            </w:r>
          </w:p>
        </w:tc>
      </w:tr>
      <w:tr w:rsidR="00411A65" w:rsidRPr="001E4FFD" w:rsidTr="00EC738E">
        <w:tc>
          <w:tcPr>
            <w:tcW w:w="2947" w:type="dxa"/>
            <w:vAlign w:val="center"/>
          </w:tcPr>
          <w:p w:rsidR="00411A65" w:rsidRPr="001E4FFD" w:rsidRDefault="000D49A8" w:rsidP="00411A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box, sandwich size</w:t>
            </w:r>
          </w:p>
        </w:tc>
        <w:tc>
          <w:tcPr>
            <w:tcW w:w="7807" w:type="dxa"/>
            <w:vAlign w:val="center"/>
          </w:tcPr>
          <w:p w:rsidR="00411A65" w:rsidRPr="001E4FFD" w:rsidRDefault="000D49A8" w:rsidP="00411A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Ziploc bags</w:t>
            </w:r>
          </w:p>
        </w:tc>
      </w:tr>
      <w:tr w:rsidR="00556425" w:rsidTr="00411A65">
        <w:tc>
          <w:tcPr>
            <w:tcW w:w="2947" w:type="dxa"/>
          </w:tcPr>
          <w:p w:rsidR="00556425" w:rsidRPr="00A261E8" w:rsidRDefault="0055642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807" w:type="dxa"/>
          </w:tcPr>
          <w:p w:rsidR="00556425" w:rsidRPr="00A261E8" w:rsidRDefault="0055642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846A8F" w:rsidRPr="00D31E12" w:rsidRDefault="00846A8F" w:rsidP="00846A8F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</w:rPr>
      </w:pPr>
    </w:p>
    <w:p w:rsidR="008342C4" w:rsidRPr="008342C4" w:rsidRDefault="008342C4" w:rsidP="00846A8F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  <w:t>Apply for and obtain a Public Library card.</w:t>
      </w:r>
      <w:bookmarkStart w:id="0" w:name="_GoBack"/>
      <w:bookmarkEnd w:id="0"/>
    </w:p>
    <w:p w:rsidR="008342C4" w:rsidRPr="008342C4" w:rsidRDefault="008342C4" w:rsidP="008342C4">
      <w:pPr>
        <w:jc w:val="center"/>
        <w:rPr>
          <w:rFonts w:ascii="Century Gothic" w:hAnsi="Century Gothic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kern w:val="28"/>
          <w:sz w:val="24"/>
          <w:szCs w:val="24"/>
        </w:rPr>
        <w:t>We appreciate your support!</w:t>
      </w:r>
    </w:p>
    <w:sectPr w:rsidR="008342C4" w:rsidRPr="008342C4" w:rsidSect="00846A8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64C2"/>
    <w:multiLevelType w:val="hybridMultilevel"/>
    <w:tmpl w:val="C1C0816E"/>
    <w:lvl w:ilvl="0" w:tplc="CE924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95A0C"/>
    <w:multiLevelType w:val="hybridMultilevel"/>
    <w:tmpl w:val="A116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0D49A8"/>
    <w:rsid w:val="001E4FFD"/>
    <w:rsid w:val="00207E7D"/>
    <w:rsid w:val="00333382"/>
    <w:rsid w:val="00341EAA"/>
    <w:rsid w:val="00411A65"/>
    <w:rsid w:val="00486C7D"/>
    <w:rsid w:val="00556425"/>
    <w:rsid w:val="00581B39"/>
    <w:rsid w:val="00666A08"/>
    <w:rsid w:val="00711343"/>
    <w:rsid w:val="00717B21"/>
    <w:rsid w:val="00765D01"/>
    <w:rsid w:val="00831EBB"/>
    <w:rsid w:val="008342C4"/>
    <w:rsid w:val="00846A8F"/>
    <w:rsid w:val="00855F08"/>
    <w:rsid w:val="008871CA"/>
    <w:rsid w:val="00907E22"/>
    <w:rsid w:val="0091066A"/>
    <w:rsid w:val="00912414"/>
    <w:rsid w:val="00A261E8"/>
    <w:rsid w:val="00A5027C"/>
    <w:rsid w:val="00BB4FF7"/>
    <w:rsid w:val="00C91B5B"/>
    <w:rsid w:val="00CF6377"/>
    <w:rsid w:val="00D31E12"/>
    <w:rsid w:val="00D535C4"/>
    <w:rsid w:val="00D75BD2"/>
    <w:rsid w:val="00EA5F72"/>
    <w:rsid w:val="00EB48F4"/>
    <w:rsid w:val="00F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9B07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5</cp:revision>
  <cp:lastPrinted>2018-06-05T14:41:00Z</cp:lastPrinted>
  <dcterms:created xsi:type="dcterms:W3CDTF">2018-05-03T17:08:00Z</dcterms:created>
  <dcterms:modified xsi:type="dcterms:W3CDTF">2018-06-05T14:41:00Z</dcterms:modified>
</cp:coreProperties>
</file>